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63" w:rsidRDefault="00D77A63" w:rsidP="00D77A63">
      <w:pPr>
        <w:shd w:val="clear" w:color="auto" w:fill="FFFFFF"/>
        <w:spacing w:after="150"/>
        <w:rPr>
          <w:rFonts w:ascii="BentonSans-Regular" w:hAnsi="BentonSans-Regular"/>
          <w:color w:val="333333"/>
          <w:sz w:val="24"/>
          <w:szCs w:val="24"/>
          <w:lang w:eastAsia="de-DE"/>
        </w:rPr>
      </w:pPr>
      <w:r>
        <w:rPr>
          <w:rFonts w:ascii="BentonSans-Regular" w:hAnsi="BentonSans-Regular"/>
          <w:color w:val="333333"/>
          <w:sz w:val="24"/>
          <w:szCs w:val="24"/>
          <w:lang w:eastAsia="de-DE"/>
        </w:rPr>
        <w:t xml:space="preserve">Folgende 3 Stufen sieht die </w:t>
      </w:r>
      <w:proofErr w:type="spellStart"/>
      <w:r>
        <w:rPr>
          <w:rFonts w:ascii="BentonSans-Regular" w:hAnsi="BentonSans-Regular"/>
          <w:color w:val="333333"/>
          <w:sz w:val="24"/>
          <w:szCs w:val="24"/>
          <w:lang w:eastAsia="de-DE"/>
        </w:rPr>
        <w:t>Coronaschutzverordnung</w:t>
      </w:r>
      <w:proofErr w:type="spellEnd"/>
      <w:r>
        <w:rPr>
          <w:rFonts w:ascii="BentonSans-Regular" w:hAnsi="BentonSans-Regular"/>
          <w:color w:val="333333"/>
          <w:sz w:val="24"/>
          <w:szCs w:val="24"/>
          <w:lang w:eastAsia="de-DE"/>
        </w:rPr>
        <w:t xml:space="preserve"> ab 28. Mai vor:</w:t>
      </w:r>
      <w:r>
        <w:rPr>
          <w:rFonts w:ascii="BentonSans-Regular" w:hAnsi="BentonSans-Regular"/>
          <w:color w:val="333333"/>
          <w:sz w:val="24"/>
          <w:szCs w:val="24"/>
          <w:lang w:eastAsia="de-DE"/>
        </w:rPr>
        <w:br/>
        <w:t> </w:t>
      </w:r>
    </w:p>
    <w:tbl>
      <w:tblPr>
        <w:tblW w:w="143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3885"/>
        <w:gridCol w:w="3885"/>
        <w:gridCol w:w="3496"/>
      </w:tblGrid>
      <w:tr w:rsidR="00D77A63" w:rsidTr="00D77A63">
        <w:tc>
          <w:tcPr>
            <w:tcW w:w="127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3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Stufe 3</w:t>
            </w: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br/>
              <w:t>Inzidenz 100-50,1</w:t>
            </w:r>
          </w:p>
        </w:tc>
        <w:tc>
          <w:tcPr>
            <w:tcW w:w="226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Stufe 2</w:t>
            </w: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br/>
              <w:t>Inzidenz 50-35,1</w:t>
            </w:r>
          </w:p>
        </w:tc>
        <w:tc>
          <w:tcPr>
            <w:tcW w:w="204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Stufe 1</w:t>
            </w: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br/>
              <w:t>Inzidenz ≤ 35</w:t>
            </w:r>
          </w:p>
        </w:tc>
      </w:tr>
      <w:tr w:rsidR="00D77A63" w:rsidTr="00D77A63">
        <w:tc>
          <w:tcPr>
            <w:tcW w:w="1275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Kontakt-beschränkungen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</w:p>
        </w:tc>
        <w:tc>
          <w:tcPr>
            <w:tcW w:w="213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Treffen im öffentlichen Raum sind ohne Begrenzung erlaubt für Angehörige aus zwei Haushalten</w:t>
            </w:r>
          </w:p>
        </w:tc>
        <w:tc>
          <w:tcPr>
            <w:tcW w:w="2265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Treffen im öffentlichen Raum sind ohne Begrenzung erlaubt für Angehörige aus drei Haushalten;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außerdem für zehn Personen mit Test aus beliebigen Haushalten</w:t>
            </w:r>
          </w:p>
        </w:tc>
        <w:tc>
          <w:tcPr>
            <w:tcW w:w="204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Treffen im öffentlichen Raum sind ohne Begrenzung erlaubt für Angehörige aus fünf Haushalten;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außerdem für 100 Personen mit Test aus beliebigen Haushalten</w:t>
            </w:r>
          </w:p>
        </w:tc>
      </w:tr>
      <w:tr w:rsidR="00D77A63" w:rsidTr="00D77A63">
        <w:tc>
          <w:tcPr>
            <w:tcW w:w="127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Außerschulische Bildung</w:t>
            </w:r>
          </w:p>
        </w:tc>
        <w:tc>
          <w:tcPr>
            <w:tcW w:w="213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Präsenzunterricht ohne Begrenzung nach Personen oder Inhalten, innen mit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Musikunterricht mit Gesang/Blasinstrumenten innen mit 5 Personen</w:t>
            </w:r>
          </w:p>
        </w:tc>
        <w:tc>
          <w:tcPr>
            <w:tcW w:w="226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Präsenzunterricht mit Test ohne Mindestabstände bei festen Sitzplätzen mit Sitzplan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Musikunterricht mit Gesang/Blasinstrumenten innen mit 10 Personen mit Test</w:t>
            </w:r>
          </w:p>
        </w:tc>
        <w:tc>
          <w:tcPr>
            <w:tcW w:w="204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ohne Maske am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festen Sitzplatz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wenn Landesinzidenz ebenfalls ≤ 35: auch innen ohne Test</w:t>
            </w:r>
          </w:p>
        </w:tc>
      </w:tr>
      <w:tr w:rsidR="00D77A63" w:rsidTr="00D77A63">
        <w:tc>
          <w:tcPr>
            <w:tcW w:w="1275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Kinder-/ Jugend-</w:t>
            </w: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br/>
            </w:r>
            <w:proofErr w:type="spellStart"/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arbeit</w:t>
            </w:r>
            <w:proofErr w:type="spellEnd"/>
          </w:p>
        </w:tc>
        <w:tc>
          <w:tcPr>
            <w:tcW w:w="213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Gruppenangebote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innen 10, außen 20 junge Menschen ohne Altersbegrenzung mit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Ferienangebote und Ferienreisen mit Test</w:t>
            </w:r>
          </w:p>
        </w:tc>
        <w:tc>
          <w:tcPr>
            <w:tcW w:w="2265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Gruppenangebote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innen 20, außen 30 junge Menschen ohne Altersbegrenzung mit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auch innen ohne Maske</w:t>
            </w:r>
          </w:p>
        </w:tc>
        <w:tc>
          <w:tcPr>
            <w:tcW w:w="204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Gruppenangebote innen 30, außen 50 junge Menschen ohne Altersbegrenzung ohne Test</w:t>
            </w:r>
          </w:p>
        </w:tc>
      </w:tr>
      <w:tr w:rsidR="00D77A63" w:rsidTr="00D77A63">
        <w:tc>
          <w:tcPr>
            <w:tcW w:w="127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Kultur</w:t>
            </w:r>
          </w:p>
        </w:tc>
        <w:tc>
          <w:tcPr>
            <w:tcW w:w="213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Veranstaltungen außen mit bis zu 500 Personen (Sitzplan) und Test, Sitzordnung nach Schachtbrettmuster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Konzerte innen,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Theater, Oper, Kinos mit bis zu 250 Personen (Sitzplan) und Test, Sitzordnung nach Schachtbrettmuster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 xml:space="preserve">nicht-berufsmäßiger Probenbetrieb außen ohne Personenbegrenzung, 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lastRenderedPageBreak/>
              <w:t>innen mit 20 Personen, Test, ohne Gesang / Blasinstrumente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</w:p>
        </w:tc>
        <w:tc>
          <w:tcPr>
            <w:tcW w:w="226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lastRenderedPageBreak/>
              <w:t>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Konzerte innen, Theater, Oper, Kinos mit bis zu 500 Personen (Sitzplan) und Test, Sitzordnung nach Schachtbrettmuster</w:t>
            </w:r>
          </w:p>
          <w:p w:rsidR="00D77A63" w:rsidRDefault="00D77A63">
            <w:pPr>
              <w:spacing w:after="150"/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 xml:space="preserve">nicht-berufsmäßiger Probenbetrieb innen mit 20 Personen, Test, mit 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lastRenderedPageBreak/>
              <w:t>Gesang/Blasinstrumenten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Museen usw. ohne Termin</w:t>
            </w:r>
          </w:p>
        </w:tc>
        <w:tc>
          <w:tcPr>
            <w:tcW w:w="204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lastRenderedPageBreak/>
              <w:t>Veranstaltungen außen und innen, Theater, Oper, Kinos mit bis zu 1.000 Personen (Sitzplan) und Test, Sitzordnung nach Schachtbrettmuster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nicht-berufsmäßiger Probenbetrieb innen mit 30 bzw. 50 Personen, mit Test, mit Gesang / Blasinstrumenten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</w: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ab 01.09.: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 xml:space="preserve"> Musikfestivals mit bis 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lastRenderedPageBreak/>
              <w:t>zu 1.000 Zuschauern mit Test und genehmigtem Konzept</w:t>
            </w:r>
          </w:p>
        </w:tc>
      </w:tr>
      <w:tr w:rsidR="00D77A63" w:rsidTr="00D77A63">
        <w:tc>
          <w:tcPr>
            <w:tcW w:w="1275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lastRenderedPageBreak/>
              <w:t>Sport</w:t>
            </w:r>
          </w:p>
        </w:tc>
        <w:tc>
          <w:tcPr>
            <w:tcW w:w="213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Kontaktfreier Außensport auf und außerhalb von Sportanlagen mit bis zu 25 Personen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Freibäder für Sportausübung (keine Liegewiesen) mit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Außen bis zu 500 Zuschauer mit Test, Sitzplan, oh</w:t>
            </w:r>
            <w:r w:rsidR="00A72737"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ne prozentuale Kapazitätsbegren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zung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</w:p>
        </w:tc>
        <w:tc>
          <w:tcPr>
            <w:tcW w:w="2265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Außen Kontaktsport mit bis zu 25 Personen, kontaktfreier Sport ohne Personenbegrenzung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Innen (einschl. Fitnessstudios) kontaktfreier Sport ohne Personen-begrenzung, Kontaktsport mit bis zu 12 Personen, jeweils mit Kontaktverfolgung und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Außen bis zu 1.000 Zuschauer, max. 33 Prozent der Kapazität, ohne Test, innen bis zu 500 Zuschauer mit Test und Sitzordnung nach Schachbrettmuster jeweils mit Sitzplan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</w:p>
        </w:tc>
        <w:tc>
          <w:tcPr>
            <w:tcW w:w="204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Außen und innen Kontaktsport mit bis zu 100 Personen mit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Außen über 1.000 Zuschauer, max. 33 Prozent der Kapazität, innen bis zu 1.000 Zuschauer mit Test, max. 33 Prozent der Kapazität, jeweils mit Sitzplan, Sitzordnung nach Schachtbrettmuster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wenn Landesinzidenz ebenfalls ≤ 35: Innensport ohne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</w: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ab 01.09.: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Sportfeste ohne Personenbegrenzung mit genehmigtem Konzept mit Test</w:t>
            </w:r>
          </w:p>
        </w:tc>
      </w:tr>
      <w:tr w:rsidR="00D77A63" w:rsidTr="00D77A63">
        <w:tc>
          <w:tcPr>
            <w:tcW w:w="127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Freizeit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</w:p>
        </w:tc>
        <w:tc>
          <w:tcPr>
            <w:tcW w:w="213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Öffnung kleinerer Außen-Einrichtungen: Minigolf, Kletterpark, Hochseilgarten mit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Freibäder für Sportbetrieb mit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Ausflugsfahrten mit Schiffen usw. mit den Außenbereichen und Test</w:t>
            </w:r>
          </w:p>
        </w:tc>
        <w:tc>
          <w:tcPr>
            <w:tcW w:w="226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 xml:space="preserve">Öffnung aller Bäder, Saunen usw. und </w:t>
            </w:r>
            <w:proofErr w:type="spellStart"/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Indoorspielplätze</w:t>
            </w:r>
            <w:proofErr w:type="spellEnd"/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 xml:space="preserve"> mit Test und Personenbegrenzung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wenn Landesinzidenz ebenfalls ≤ 50: Freizeitparks und Spielbanken mit Test und Personenbegrenzung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 xml:space="preserve">wenn Landesinzidenz ebenfalls ≤ 50: Ausflugsfahrten </w:t>
            </w:r>
            <w:r w:rsidR="00A72737"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mit Schiffen, Kutschen, histori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schen Eisenbahnen und ähnlichen Einrichtungen mit Test</w:t>
            </w:r>
          </w:p>
        </w:tc>
        <w:tc>
          <w:tcPr>
            <w:tcW w:w="204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Freibäder ohne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Bordelle usw. mit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Clubs und Diskotheken mit Außenbereichen bis zu 100 Personen mit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</w: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ab 01.09.: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 wenn Landesinzidenz ebenfalls ≤ 35: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Clubs und Diskotheken auch Innenbereich und ohne Personenbegrenzung mit Test und genehmigtem Konzept</w:t>
            </w:r>
          </w:p>
        </w:tc>
      </w:tr>
      <w:tr w:rsidR="00D77A63" w:rsidTr="00D77A63">
        <w:tc>
          <w:tcPr>
            <w:tcW w:w="1275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lastRenderedPageBreak/>
              <w:t>Einzelhandel, der nicht Grundversorgung ist</w:t>
            </w:r>
          </w:p>
        </w:tc>
        <w:tc>
          <w:tcPr>
            <w:tcW w:w="213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 xml:space="preserve">Wegfall </w:t>
            </w:r>
            <w:proofErr w:type="spellStart"/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click</w:t>
            </w:r>
            <w:proofErr w:type="spellEnd"/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 xml:space="preserve"> &amp; </w:t>
            </w:r>
            <w:proofErr w:type="spellStart"/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meet</w:t>
            </w:r>
            <w:proofErr w:type="spellEnd"/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, ohne Test, Reduzierung der Kundenbegrenzung auf 1 Person pro 20 qm</w:t>
            </w:r>
          </w:p>
        </w:tc>
        <w:tc>
          <w:tcPr>
            <w:tcW w:w="2265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Reduzierung der Kundenbegrenzung auf eine Person pro 10 qm</w:t>
            </w:r>
          </w:p>
        </w:tc>
        <w:tc>
          <w:tcPr>
            <w:tcW w:w="204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Wegfall Sonderregel für über 800 qm große Geschäfte</w:t>
            </w:r>
          </w:p>
        </w:tc>
      </w:tr>
      <w:tr w:rsidR="00D77A63" w:rsidTr="00D77A63">
        <w:tc>
          <w:tcPr>
            <w:tcW w:w="127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Messen/</w:t>
            </w: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br/>
              <w:t>Märkte</w:t>
            </w:r>
          </w:p>
        </w:tc>
        <w:tc>
          <w:tcPr>
            <w:tcW w:w="213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Messen und Ausstellungen mit Personenbegrenzung und Hygienekonzept</w:t>
            </w:r>
          </w:p>
        </w:tc>
        <w:tc>
          <w:tcPr>
            <w:tcW w:w="226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 xml:space="preserve">Jahr- und Spezialmärkte mit </w:t>
            </w:r>
            <w:proofErr w:type="spellStart"/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Personenbegrenzung,mit</w:t>
            </w:r>
            <w:proofErr w:type="spellEnd"/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 xml:space="preserve"> Test auch Kirmeselemente zulässig</w:t>
            </w:r>
          </w:p>
        </w:tc>
        <w:tc>
          <w:tcPr>
            <w:tcW w:w="204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ab 01.09.: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 auch Jahr- und Spezialmärkte mit Kirmeselementen ohne Test</w:t>
            </w:r>
          </w:p>
        </w:tc>
      </w:tr>
      <w:tr w:rsidR="00D77A63" w:rsidTr="00D77A63">
        <w:tc>
          <w:tcPr>
            <w:tcW w:w="1275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Tagungen/</w:t>
            </w: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br/>
              <w:t>Kongresse</w:t>
            </w:r>
          </w:p>
        </w:tc>
        <w:tc>
          <w:tcPr>
            <w:tcW w:w="213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2265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außen und innen bis zu 500 Teilnehmer mit Test</w:t>
            </w:r>
          </w:p>
        </w:tc>
        <w:tc>
          <w:tcPr>
            <w:tcW w:w="204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außen und innen bis zu 1.000 Personen mit Test</w:t>
            </w:r>
          </w:p>
        </w:tc>
      </w:tr>
      <w:tr w:rsidR="00D77A63" w:rsidTr="00D77A63">
        <w:tc>
          <w:tcPr>
            <w:tcW w:w="127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Private</w:t>
            </w: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br/>
              <w:t>Veranstaltungen</w:t>
            </w: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br/>
              <w:t>(ohne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</w: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Partys)</w:t>
            </w:r>
          </w:p>
        </w:tc>
        <w:tc>
          <w:tcPr>
            <w:tcW w:w="213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226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außen bis zu 100,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innen bis zu 50 Gäste mit Test</w:t>
            </w:r>
          </w:p>
        </w:tc>
        <w:tc>
          <w:tcPr>
            <w:tcW w:w="204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außen bis zu 250 Gäste ohne Test, innen bis zu 100 Gäste mit Test</w:t>
            </w:r>
          </w:p>
        </w:tc>
      </w:tr>
      <w:tr w:rsidR="00D77A63" w:rsidTr="00D77A63">
        <w:tc>
          <w:tcPr>
            <w:tcW w:w="1275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Partys</w:t>
            </w:r>
          </w:p>
        </w:tc>
        <w:tc>
          <w:tcPr>
            <w:tcW w:w="213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2265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204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außen bis zu 100, innen bis zu 50 Gäste jeweils mit Test ohne Abstand</w:t>
            </w:r>
          </w:p>
        </w:tc>
      </w:tr>
      <w:tr w:rsidR="00D77A63" w:rsidTr="00D77A63">
        <w:tc>
          <w:tcPr>
            <w:tcW w:w="127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Große Festveranstaltungen</w:t>
            </w:r>
          </w:p>
        </w:tc>
        <w:tc>
          <w:tcPr>
            <w:tcW w:w="213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226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204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ab 01.09.: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Volksfeste, Schützenfeste, Stadtfeste usw. bis zu 1.000 Besucher mit genehmigtem Konzept; wenn Landesinzidenz ebenfalls ≤ 35: ohne Besucherbegre</w:t>
            </w:r>
            <w:r w:rsidR="00A72737"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n</w:t>
            </w:r>
            <w:bookmarkStart w:id="0" w:name="_GoBack"/>
            <w:bookmarkEnd w:id="0"/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zung</w:t>
            </w:r>
          </w:p>
        </w:tc>
      </w:tr>
      <w:tr w:rsidR="00D77A63" w:rsidTr="00D77A63">
        <w:tc>
          <w:tcPr>
            <w:tcW w:w="1275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Gastronomie</w:t>
            </w:r>
          </w:p>
        </w:tc>
        <w:tc>
          <w:tcPr>
            <w:tcW w:w="213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Öffnung Außengastronomie mit Test und Platzpflicht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Wegfall Umkreis-Verzehrverbot</w:t>
            </w:r>
          </w:p>
        </w:tc>
        <w:tc>
          <w:tcPr>
            <w:tcW w:w="2265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Außengastronomie ohne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Öffnung von Innengastronomie mit Test und Platzpflicht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Öffnung von Kantinen (für Betriebsangehörige ohne Test)</w:t>
            </w:r>
          </w:p>
        </w:tc>
        <w:tc>
          <w:tcPr>
            <w:tcW w:w="204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wenn Landesinzidenz ebenfalls ≤ 35: auch Innengastronomie ohne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</w:p>
        </w:tc>
      </w:tr>
      <w:tr w:rsidR="00D77A63" w:rsidTr="00D77A63">
        <w:tc>
          <w:tcPr>
            <w:tcW w:w="127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Beherbergung/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</w: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Tourismus</w:t>
            </w:r>
          </w:p>
        </w:tc>
        <w:tc>
          <w:tcPr>
            <w:tcW w:w="213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„Autarke“ Übernachtungen (Ferienwohnungen, Camping, Wohnmobile) mit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lastRenderedPageBreak/>
              <w:t>Öffnung von Hotels ohne Kapazitätsbegrenzung auch für private Übernachtungen mit Frühstück, aber ohne weitere Innengastronomie; mit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Busreisen mit Test und Kapazitätsbegrenzung (60 Prozent), falls nicht ausschließlich Geimpfte/Genesene teilnehmen oder alle Atemschutzmasken tragen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</w:p>
        </w:tc>
        <w:tc>
          <w:tcPr>
            <w:tcW w:w="226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lastRenderedPageBreak/>
              <w:t>volle gastronomische Versorgung für private Gäste</w:t>
            </w:r>
          </w:p>
        </w:tc>
        <w:tc>
          <w:tcPr>
            <w:tcW w:w="204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 xml:space="preserve">Busreisen ohne Kapazitätsbegrenzung, wenn alle 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lastRenderedPageBreak/>
              <w:t>Teilnehmer aus Regionen mit Inzidenz ≤ 35 kommen</w:t>
            </w:r>
          </w:p>
        </w:tc>
      </w:tr>
    </w:tbl>
    <w:p w:rsidR="00EF626A" w:rsidRPr="008339F4" w:rsidRDefault="00EF626A" w:rsidP="008339F4"/>
    <w:sectPr w:rsidR="00EF626A" w:rsidRPr="008339F4" w:rsidSect="00D77A6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tonSans-Regular">
    <w:altName w:val="Times New Roman"/>
    <w:charset w:val="00"/>
    <w:family w:val="auto"/>
    <w:pitch w:val="default"/>
  </w:font>
  <w:font w:name="BentonSans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63"/>
    <w:rsid w:val="00000FC4"/>
    <w:rsid w:val="00097047"/>
    <w:rsid w:val="000A5F4F"/>
    <w:rsid w:val="00115710"/>
    <w:rsid w:val="001F7A22"/>
    <w:rsid w:val="002A0D32"/>
    <w:rsid w:val="002D70C6"/>
    <w:rsid w:val="00373631"/>
    <w:rsid w:val="003C71EE"/>
    <w:rsid w:val="003D4D9D"/>
    <w:rsid w:val="0041196C"/>
    <w:rsid w:val="004428BB"/>
    <w:rsid w:val="00444876"/>
    <w:rsid w:val="004612F9"/>
    <w:rsid w:val="005C0147"/>
    <w:rsid w:val="0065046D"/>
    <w:rsid w:val="006D3383"/>
    <w:rsid w:val="006F0356"/>
    <w:rsid w:val="00707B5C"/>
    <w:rsid w:val="00732E62"/>
    <w:rsid w:val="007B1991"/>
    <w:rsid w:val="007D569B"/>
    <w:rsid w:val="008266CB"/>
    <w:rsid w:val="008339F4"/>
    <w:rsid w:val="00870AAF"/>
    <w:rsid w:val="008816E0"/>
    <w:rsid w:val="00881D92"/>
    <w:rsid w:val="0097048C"/>
    <w:rsid w:val="00A24DCA"/>
    <w:rsid w:val="00A72737"/>
    <w:rsid w:val="00B9597D"/>
    <w:rsid w:val="00BA59DD"/>
    <w:rsid w:val="00BF039E"/>
    <w:rsid w:val="00C853A3"/>
    <w:rsid w:val="00CC0D48"/>
    <w:rsid w:val="00D24D10"/>
    <w:rsid w:val="00D7597D"/>
    <w:rsid w:val="00D77A63"/>
    <w:rsid w:val="00E17675"/>
    <w:rsid w:val="00EF626A"/>
    <w:rsid w:val="00F35937"/>
    <w:rsid w:val="00FB152B"/>
    <w:rsid w:val="00FB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68CE1-9B8C-46BA-B977-42E41148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7A63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046D"/>
    <w:pPr>
      <w:keepNext/>
      <w:keepLines/>
      <w:spacing w:before="120"/>
      <w:outlineLvl w:val="0"/>
    </w:pPr>
    <w:rPr>
      <w:rFonts w:ascii="Arial" w:eastAsiaTheme="majorEastAsia" w:hAnsi="Arial"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046D"/>
    <w:pPr>
      <w:keepNext/>
      <w:keepLines/>
      <w:spacing w:before="120"/>
      <w:outlineLvl w:val="1"/>
    </w:pPr>
    <w:rPr>
      <w:rFonts w:ascii="Arial" w:eastAsiaTheme="majorEastAsia" w:hAnsi="Arial" w:cs="Arial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046D"/>
    <w:pPr>
      <w:keepNext/>
      <w:keepLines/>
      <w:spacing w:before="120"/>
      <w:outlineLvl w:val="2"/>
    </w:pPr>
    <w:rPr>
      <w:rFonts w:ascii="Arial" w:eastAsiaTheme="majorEastAsia" w:hAnsi="Arial" w:cs="Arial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046D"/>
    <w:pPr>
      <w:keepNext/>
      <w:keepLines/>
      <w:spacing w:before="120"/>
      <w:outlineLvl w:val="3"/>
    </w:pPr>
    <w:rPr>
      <w:rFonts w:ascii="Arial" w:eastAsiaTheme="majorEastAsia" w:hAnsi="Arial" w:cs="Arial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046D"/>
    <w:pPr>
      <w:keepNext/>
      <w:keepLines/>
      <w:spacing w:before="120"/>
      <w:outlineLvl w:val="4"/>
    </w:pPr>
    <w:rPr>
      <w:rFonts w:ascii="Arial" w:eastAsiaTheme="majorEastAsia" w:hAnsi="Arial" w:cs="Arial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046D"/>
    <w:pPr>
      <w:keepNext/>
      <w:keepLines/>
      <w:spacing w:before="120"/>
      <w:outlineLvl w:val="5"/>
    </w:pPr>
    <w:rPr>
      <w:rFonts w:ascii="Arial" w:eastAsiaTheme="majorEastAsia" w:hAnsi="Arial" w:cs="Arial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046D"/>
    <w:pPr>
      <w:keepNext/>
      <w:keepLines/>
      <w:spacing w:before="120"/>
      <w:outlineLvl w:val="6"/>
    </w:pPr>
    <w:rPr>
      <w:rFonts w:ascii="Arial" w:eastAsiaTheme="majorEastAsia" w:hAnsi="Arial" w:cs="Arial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046D"/>
    <w:pPr>
      <w:keepNext/>
      <w:keepLines/>
      <w:spacing w:before="120"/>
      <w:outlineLvl w:val="7"/>
    </w:pPr>
    <w:rPr>
      <w:rFonts w:ascii="Arial" w:eastAsiaTheme="majorEastAsia" w:hAnsi="Arial" w:cs="Arial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046D"/>
    <w:pPr>
      <w:keepNext/>
      <w:keepLines/>
      <w:spacing w:before="120"/>
      <w:outlineLvl w:val="8"/>
    </w:pPr>
    <w:rPr>
      <w:rFonts w:ascii="Arial" w:eastAsiaTheme="majorEastAsia" w:hAnsi="Arial" w:cs="Arial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046D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046D"/>
    <w:rPr>
      <w:rFonts w:ascii="Arial" w:eastAsiaTheme="majorEastAsia" w:hAnsi="Arial" w:cs="Arial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046D"/>
    <w:rPr>
      <w:rFonts w:ascii="Arial" w:eastAsiaTheme="majorEastAsia" w:hAnsi="Arial" w:cs="Arial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046D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046D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046D"/>
    <w:rPr>
      <w:rFonts w:ascii="Arial" w:eastAsiaTheme="majorEastAsia" w:hAnsi="Arial" w:cs="Arial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046D"/>
    <w:rPr>
      <w:rFonts w:ascii="Arial" w:eastAsiaTheme="majorEastAsia" w:hAnsi="Arial" w:cs="Arial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046D"/>
    <w:rPr>
      <w:rFonts w:ascii="Arial" w:eastAsiaTheme="majorEastAsia" w:hAnsi="Arial" w:cs="Arial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046D"/>
    <w:rPr>
      <w:rFonts w:ascii="Arial" w:eastAsiaTheme="majorEastAsia" w:hAnsi="Arial" w:cs="Arial"/>
      <w:b/>
      <w:iCs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5046D"/>
    <w:pPr>
      <w:contextualSpacing/>
      <w:jc w:val="center"/>
    </w:pPr>
    <w:rPr>
      <w:rFonts w:ascii="Arial" w:eastAsiaTheme="majorEastAsia" w:hAnsi="Arial" w:cs="Arial"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5046D"/>
    <w:rPr>
      <w:rFonts w:ascii="Arial" w:eastAsiaTheme="majorEastAsia" w:hAnsi="Arial" w:cs="Arial"/>
      <w:spacing w:val="-10"/>
      <w:kern w:val="28"/>
      <w:sz w:val="30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A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5130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schmitzfra</dc:creator>
  <cp:keywords/>
  <dc:description/>
  <cp:lastModifiedBy>timmer</cp:lastModifiedBy>
  <cp:revision>2</cp:revision>
  <cp:lastPrinted>2021-05-27T11:26:00Z</cp:lastPrinted>
  <dcterms:created xsi:type="dcterms:W3CDTF">2021-05-27T11:45:00Z</dcterms:created>
  <dcterms:modified xsi:type="dcterms:W3CDTF">2021-05-27T11:45:00Z</dcterms:modified>
</cp:coreProperties>
</file>